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3E" w:rsidRDefault="00BD393E" w:rsidP="00BD393E">
      <w:r w:rsidRPr="007F36E4">
        <w:t>Reflect on the data</w:t>
      </w:r>
      <w:r>
        <w:t>:</w:t>
      </w:r>
    </w:p>
    <w:p w:rsidR="00BD393E" w:rsidRPr="007C2C79" w:rsidRDefault="00BD393E" w:rsidP="00BD393E">
      <w:r w:rsidRPr="007C2C79">
        <w:rPr>
          <w:b/>
        </w:rPr>
        <w:t xml:space="preserve">Team to Teach Tool 5.3- Reflecting on the </w:t>
      </w:r>
      <w:proofErr w:type="gramStart"/>
      <w:r w:rsidRPr="007C2C79">
        <w:rPr>
          <w:b/>
        </w:rPr>
        <w:t>Data</w:t>
      </w:r>
      <w:r>
        <w:rPr>
          <w:b/>
        </w:rPr>
        <w:t xml:space="preserve">  </w:t>
      </w:r>
      <w:r>
        <w:t>(</w:t>
      </w:r>
      <w:proofErr w:type="gramEnd"/>
      <w:r>
        <w:t>use Tool 5.1 for data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3672"/>
        <w:gridCol w:w="3672"/>
      </w:tblGrid>
      <w:tr w:rsidR="00BD393E" w:rsidTr="004A24CC">
        <w:tc>
          <w:tcPr>
            <w:tcW w:w="3672" w:type="dxa"/>
          </w:tcPr>
          <w:p w:rsidR="00BD393E" w:rsidRPr="00FE5F54" w:rsidRDefault="00BD393E" w:rsidP="004A24CC">
            <w:pPr>
              <w:jc w:val="center"/>
              <w:rPr>
                <w:b/>
              </w:rPr>
            </w:pPr>
            <w:r w:rsidRPr="00FE5F54">
              <w:rPr>
                <w:b/>
              </w:rPr>
              <w:t>Question</w:t>
            </w:r>
          </w:p>
        </w:tc>
        <w:tc>
          <w:tcPr>
            <w:tcW w:w="3672" w:type="dxa"/>
          </w:tcPr>
          <w:p w:rsidR="00BD393E" w:rsidRPr="00FE5F54" w:rsidRDefault="00BD393E" w:rsidP="004A24CC">
            <w:pPr>
              <w:jc w:val="center"/>
              <w:rPr>
                <w:b/>
              </w:rPr>
            </w:pPr>
            <w:r w:rsidRPr="00FE5F54">
              <w:rPr>
                <w:b/>
              </w:rPr>
              <w:t>Answer</w:t>
            </w:r>
          </w:p>
        </w:tc>
        <w:tc>
          <w:tcPr>
            <w:tcW w:w="3672" w:type="dxa"/>
          </w:tcPr>
          <w:p w:rsidR="00BD393E" w:rsidRPr="00FE5F54" w:rsidRDefault="00BD393E" w:rsidP="004A24CC">
            <w:pPr>
              <w:jc w:val="center"/>
              <w:rPr>
                <w:b/>
              </w:rPr>
            </w:pPr>
            <w:r w:rsidRPr="00FE5F54">
              <w:rPr>
                <w:b/>
              </w:rPr>
              <w:t xml:space="preserve">What other info. </w:t>
            </w:r>
            <w:proofErr w:type="gramStart"/>
            <w:r w:rsidRPr="00FE5F54">
              <w:rPr>
                <w:b/>
              </w:rPr>
              <w:t>do</w:t>
            </w:r>
            <w:proofErr w:type="gramEnd"/>
            <w:r w:rsidRPr="00FE5F54">
              <w:rPr>
                <w:b/>
              </w:rPr>
              <w:t xml:space="preserve"> we need?</w:t>
            </w:r>
          </w:p>
        </w:tc>
      </w:tr>
      <w:tr w:rsidR="00BD393E" w:rsidTr="004A24CC">
        <w:tc>
          <w:tcPr>
            <w:tcW w:w="3672" w:type="dxa"/>
          </w:tcPr>
          <w:p w:rsidR="00BD393E" w:rsidRDefault="00BD393E" w:rsidP="004A24CC">
            <w:r>
              <w:t>1. What sources of data did we examine?</w:t>
            </w:r>
          </w:p>
        </w:tc>
        <w:tc>
          <w:tcPr>
            <w:tcW w:w="3672" w:type="dxa"/>
          </w:tcPr>
          <w:p w:rsidR="00BD393E" w:rsidRDefault="00BD393E" w:rsidP="004A24CC"/>
          <w:p w:rsidR="004A24CC" w:rsidRDefault="004A24CC" w:rsidP="004A24CC">
            <w:r>
              <w:t xml:space="preserve">ARMT, SAT-10, SF Unit assessments, and SF weekly Progress Monitoring fresh reads, and </w:t>
            </w:r>
            <w:proofErr w:type="spellStart"/>
            <w:r>
              <w:t>iNOW</w:t>
            </w:r>
            <w:proofErr w:type="spellEnd"/>
            <w:r>
              <w:t xml:space="preserve"> attendance</w:t>
            </w:r>
          </w:p>
          <w:p w:rsidR="00BD393E" w:rsidRDefault="00BD393E" w:rsidP="004A24CC"/>
        </w:tc>
        <w:tc>
          <w:tcPr>
            <w:tcW w:w="3672" w:type="dxa"/>
          </w:tcPr>
          <w:p w:rsidR="00BD393E" w:rsidRDefault="00BD393E" w:rsidP="004A24CC"/>
        </w:tc>
      </w:tr>
      <w:tr w:rsidR="00BD393E" w:rsidTr="004A24CC">
        <w:tc>
          <w:tcPr>
            <w:tcW w:w="3672" w:type="dxa"/>
          </w:tcPr>
          <w:p w:rsidR="00BD393E" w:rsidRDefault="00BD393E" w:rsidP="004A24CC">
            <w:r>
              <w:t>2. What parts of these data really caught our attention?</w:t>
            </w:r>
          </w:p>
        </w:tc>
        <w:tc>
          <w:tcPr>
            <w:tcW w:w="3672" w:type="dxa"/>
          </w:tcPr>
          <w:p w:rsidR="00BD393E" w:rsidRDefault="00BD393E" w:rsidP="00BD393E">
            <w:pPr>
              <w:ind w:left="360"/>
            </w:pPr>
          </w:p>
          <w:p w:rsidR="0083684D" w:rsidRDefault="0083684D" w:rsidP="0083684D">
            <w:r>
              <w:t>Six of the ten identified are Resource students.  On the SF unit assessments, five of ten students are making gains and the remainder are holding steady.  Of the four students who scored level II on the ARMT in grades 3-6, three are Resource students.</w:t>
            </w:r>
          </w:p>
          <w:p w:rsidR="00BD393E" w:rsidRDefault="00BD393E" w:rsidP="00BD393E"/>
        </w:tc>
        <w:tc>
          <w:tcPr>
            <w:tcW w:w="3672" w:type="dxa"/>
          </w:tcPr>
          <w:p w:rsidR="00BD393E" w:rsidRDefault="00BD393E" w:rsidP="004A24CC"/>
        </w:tc>
      </w:tr>
      <w:tr w:rsidR="00BD393E" w:rsidTr="004A24CC">
        <w:tc>
          <w:tcPr>
            <w:tcW w:w="3672" w:type="dxa"/>
          </w:tcPr>
          <w:p w:rsidR="00BD393E" w:rsidRDefault="00BD393E" w:rsidP="004A24CC">
            <w:r>
              <w:t>3. What parts of these data encourage you the most?</w:t>
            </w:r>
          </w:p>
        </w:tc>
        <w:tc>
          <w:tcPr>
            <w:tcW w:w="3672" w:type="dxa"/>
          </w:tcPr>
          <w:p w:rsidR="00BD393E" w:rsidRDefault="00BD393E" w:rsidP="00BD393E"/>
          <w:p w:rsidR="0083684D" w:rsidRPr="007C56FA" w:rsidRDefault="0083684D" w:rsidP="0083684D">
            <w:r>
              <w:t xml:space="preserve">It is encouraging to see that very few students scored </w:t>
            </w:r>
            <w:proofErr w:type="gramStart"/>
            <w:r>
              <w:t>non</w:t>
            </w:r>
            <w:proofErr w:type="gramEnd"/>
            <w:r>
              <w:t xml:space="preserve"> or partially proficient on the ARMT and on the SF unit assessments, all identified students are scoring at grade level.</w:t>
            </w:r>
          </w:p>
          <w:p w:rsidR="00BD393E" w:rsidRDefault="00BD393E" w:rsidP="00BD393E"/>
          <w:p w:rsidR="00BD393E" w:rsidRDefault="00BD393E" w:rsidP="00BD393E"/>
        </w:tc>
        <w:tc>
          <w:tcPr>
            <w:tcW w:w="3672" w:type="dxa"/>
          </w:tcPr>
          <w:p w:rsidR="00BD393E" w:rsidRDefault="00BD393E" w:rsidP="004A24CC"/>
        </w:tc>
      </w:tr>
      <w:tr w:rsidR="00BD393E" w:rsidTr="004A24CC">
        <w:tc>
          <w:tcPr>
            <w:tcW w:w="3672" w:type="dxa"/>
          </w:tcPr>
          <w:p w:rsidR="00BD393E" w:rsidRDefault="00BD393E" w:rsidP="004A24CC">
            <w:r>
              <w:t>4. What parts concern you the most?</w:t>
            </w:r>
          </w:p>
        </w:tc>
        <w:tc>
          <w:tcPr>
            <w:tcW w:w="3672" w:type="dxa"/>
          </w:tcPr>
          <w:p w:rsidR="0083684D" w:rsidRPr="007C56FA" w:rsidRDefault="0083684D" w:rsidP="0083684D">
            <w:r>
              <w:t>Fluency is a concern.  This seems to be a weak area for students.  Focus will continue to be on building fluency in Tiers II and III.</w:t>
            </w:r>
          </w:p>
          <w:p w:rsidR="00BD393E" w:rsidRDefault="00BD393E" w:rsidP="00BD393E"/>
          <w:p w:rsidR="00BD393E" w:rsidRDefault="00BD393E" w:rsidP="00BD393E"/>
        </w:tc>
        <w:tc>
          <w:tcPr>
            <w:tcW w:w="3672" w:type="dxa"/>
          </w:tcPr>
          <w:p w:rsidR="00BD393E" w:rsidRDefault="00BD393E" w:rsidP="004A24CC"/>
        </w:tc>
      </w:tr>
      <w:tr w:rsidR="00BD393E" w:rsidTr="004A24CC">
        <w:tc>
          <w:tcPr>
            <w:tcW w:w="3672" w:type="dxa"/>
          </w:tcPr>
          <w:p w:rsidR="00BD393E" w:rsidRDefault="00BD393E" w:rsidP="004A24CC">
            <w:r>
              <w:t>5. What differences, if any, are there in grades, attendance, and behavior among our students?</w:t>
            </w:r>
          </w:p>
        </w:tc>
        <w:tc>
          <w:tcPr>
            <w:tcW w:w="3672" w:type="dxa"/>
          </w:tcPr>
          <w:p w:rsidR="00BD393E" w:rsidRDefault="0083684D" w:rsidP="004A24CC">
            <w:r>
              <w:t>One of ten students has an attendance problem.  Overall, there seems to be no differences in any particular area.</w:t>
            </w:r>
          </w:p>
          <w:p w:rsidR="00BD393E" w:rsidRDefault="00BD393E" w:rsidP="004A24CC"/>
          <w:p w:rsidR="00BD393E" w:rsidRDefault="00BD393E" w:rsidP="004A24CC"/>
          <w:p w:rsidR="0083684D" w:rsidRDefault="0083684D" w:rsidP="004A24CC"/>
        </w:tc>
        <w:tc>
          <w:tcPr>
            <w:tcW w:w="3672" w:type="dxa"/>
          </w:tcPr>
          <w:p w:rsidR="00BD393E" w:rsidRDefault="00BD393E" w:rsidP="004A24CC"/>
        </w:tc>
      </w:tr>
      <w:tr w:rsidR="00BD393E" w:rsidTr="004A24CC">
        <w:tc>
          <w:tcPr>
            <w:tcW w:w="3672" w:type="dxa"/>
          </w:tcPr>
          <w:p w:rsidR="00BD393E" w:rsidRDefault="00BD393E" w:rsidP="004A24CC">
            <w:r>
              <w:t>6. Do some groups achieve at higher levels than others?</w:t>
            </w:r>
          </w:p>
        </w:tc>
        <w:tc>
          <w:tcPr>
            <w:tcW w:w="3672" w:type="dxa"/>
          </w:tcPr>
          <w:p w:rsidR="0083684D" w:rsidRPr="003B75E3" w:rsidRDefault="0083684D" w:rsidP="0083684D">
            <w:r>
              <w:t>Some students scored higher in math on the ARMT.</w:t>
            </w:r>
          </w:p>
          <w:p w:rsidR="00BD393E" w:rsidRDefault="00BD393E" w:rsidP="004A24CC"/>
          <w:p w:rsidR="00BD393E" w:rsidRDefault="00BD393E" w:rsidP="004A24CC"/>
          <w:p w:rsidR="00BD393E" w:rsidRDefault="00BD393E" w:rsidP="004A24CC"/>
          <w:p w:rsidR="00BD393E" w:rsidRDefault="00BD393E" w:rsidP="004A24CC"/>
        </w:tc>
        <w:tc>
          <w:tcPr>
            <w:tcW w:w="3672" w:type="dxa"/>
          </w:tcPr>
          <w:p w:rsidR="00BD393E" w:rsidRDefault="00BD393E" w:rsidP="00BD393E"/>
        </w:tc>
      </w:tr>
      <w:tr w:rsidR="00BD393E" w:rsidTr="004A24CC">
        <w:tc>
          <w:tcPr>
            <w:tcW w:w="3672" w:type="dxa"/>
          </w:tcPr>
          <w:p w:rsidR="00BD393E" w:rsidRDefault="00BD393E" w:rsidP="004A24CC">
            <w:r>
              <w:t>7. Which students are not working to potential? What evidence is there that students who were given more challenging work also achieved more?</w:t>
            </w:r>
          </w:p>
        </w:tc>
        <w:tc>
          <w:tcPr>
            <w:tcW w:w="3672" w:type="dxa"/>
          </w:tcPr>
          <w:p w:rsidR="0083684D" w:rsidRPr="003B75E3" w:rsidRDefault="0083684D" w:rsidP="0083684D">
            <w:r>
              <w:t>Student 4 and 9 are not working to their potential due to interference #6.</w:t>
            </w:r>
          </w:p>
          <w:p w:rsidR="00BD393E" w:rsidRDefault="00BD393E" w:rsidP="004A24CC"/>
        </w:tc>
        <w:tc>
          <w:tcPr>
            <w:tcW w:w="3672" w:type="dxa"/>
          </w:tcPr>
          <w:p w:rsidR="00BD393E" w:rsidRDefault="0083684D" w:rsidP="004A24CC">
            <w:r>
              <w:t>Walkthrough observation data</w:t>
            </w:r>
          </w:p>
        </w:tc>
      </w:tr>
      <w:tr w:rsidR="00BD393E" w:rsidTr="004A24CC">
        <w:tc>
          <w:tcPr>
            <w:tcW w:w="3672" w:type="dxa"/>
          </w:tcPr>
          <w:p w:rsidR="00BD393E" w:rsidRDefault="00BD393E" w:rsidP="004A24CC">
            <w:r>
              <w:lastRenderedPageBreak/>
              <w:t>8. Which groups appear to need instruction more tailored to their learning styles?</w:t>
            </w:r>
          </w:p>
        </w:tc>
        <w:tc>
          <w:tcPr>
            <w:tcW w:w="3672" w:type="dxa"/>
          </w:tcPr>
          <w:p w:rsidR="00BD393E" w:rsidRDefault="00BD393E" w:rsidP="004A24CC"/>
          <w:p w:rsidR="0083684D" w:rsidRDefault="0083684D" w:rsidP="0083684D">
            <w:r>
              <w:t>All students need instruction more tailored to their learning styles.</w:t>
            </w:r>
          </w:p>
          <w:p w:rsidR="00BD393E" w:rsidRDefault="00BD393E" w:rsidP="004A24CC"/>
          <w:p w:rsidR="00BD393E" w:rsidRDefault="00BD393E" w:rsidP="004A24CC"/>
          <w:p w:rsidR="00BD393E" w:rsidRDefault="00BD393E" w:rsidP="004A24CC"/>
          <w:p w:rsidR="00BD393E" w:rsidRDefault="00BD393E" w:rsidP="004A24CC"/>
        </w:tc>
        <w:tc>
          <w:tcPr>
            <w:tcW w:w="3672" w:type="dxa"/>
          </w:tcPr>
          <w:p w:rsidR="00BD393E" w:rsidRDefault="00BD393E" w:rsidP="004A24CC"/>
        </w:tc>
      </w:tr>
      <w:tr w:rsidR="00BD393E" w:rsidTr="004A24CC">
        <w:tc>
          <w:tcPr>
            <w:tcW w:w="3672" w:type="dxa"/>
          </w:tcPr>
          <w:p w:rsidR="00BD393E" w:rsidRDefault="00BD393E" w:rsidP="004A24CC">
            <w:r>
              <w:t>9. What other questions does this data raise for you?</w:t>
            </w:r>
          </w:p>
        </w:tc>
        <w:tc>
          <w:tcPr>
            <w:tcW w:w="3672" w:type="dxa"/>
          </w:tcPr>
          <w:p w:rsidR="0083684D" w:rsidRPr="003B75E3" w:rsidRDefault="0083684D" w:rsidP="0083684D">
            <w:r>
              <w:t xml:space="preserve">Are we providing enough </w:t>
            </w:r>
            <w:proofErr w:type="gramStart"/>
            <w:r>
              <w:t>rigor</w:t>
            </w:r>
            <w:proofErr w:type="gramEnd"/>
            <w:r>
              <w:t xml:space="preserve"> in instruction?</w:t>
            </w:r>
          </w:p>
          <w:p w:rsidR="00BD393E" w:rsidRDefault="00BD393E" w:rsidP="004A24CC"/>
          <w:p w:rsidR="00BD393E" w:rsidRDefault="00BD393E" w:rsidP="004A24CC"/>
          <w:p w:rsidR="00BD393E" w:rsidRDefault="00BD393E" w:rsidP="004A24CC"/>
          <w:p w:rsidR="00BD393E" w:rsidRDefault="00BD393E" w:rsidP="004A24CC"/>
        </w:tc>
        <w:tc>
          <w:tcPr>
            <w:tcW w:w="3672" w:type="dxa"/>
          </w:tcPr>
          <w:p w:rsidR="00BD393E" w:rsidRDefault="0083684D" w:rsidP="004A24CC">
            <w:r>
              <w:t>Continue walkthroughs to monitor instruction.</w:t>
            </w:r>
          </w:p>
        </w:tc>
      </w:tr>
      <w:tr w:rsidR="00BD393E" w:rsidTr="004A24CC">
        <w:tc>
          <w:tcPr>
            <w:tcW w:w="3672" w:type="dxa"/>
          </w:tcPr>
          <w:p w:rsidR="00BD393E" w:rsidRDefault="00BD393E" w:rsidP="004A24CC">
            <w:r>
              <w:t>10. What are the implications for what our professional learning team should focus on this year?</w:t>
            </w:r>
          </w:p>
        </w:tc>
        <w:tc>
          <w:tcPr>
            <w:tcW w:w="3672" w:type="dxa"/>
          </w:tcPr>
          <w:p w:rsidR="00BD393E" w:rsidRDefault="00BD393E" w:rsidP="00BD393E">
            <w:pPr>
              <w:rPr>
                <w:b/>
                <w:color w:val="FF0000"/>
              </w:rPr>
            </w:pPr>
          </w:p>
          <w:p w:rsidR="0083684D" w:rsidRPr="003B75E3" w:rsidRDefault="0083684D" w:rsidP="0083684D">
            <w:r>
              <w:t>Our focus this year has been monitoring student interferences and explicit instruction.</w:t>
            </w:r>
          </w:p>
          <w:p w:rsidR="00BD393E" w:rsidRDefault="00BD393E" w:rsidP="00BD393E">
            <w:pPr>
              <w:rPr>
                <w:b/>
                <w:color w:val="FF0000"/>
              </w:rPr>
            </w:pPr>
          </w:p>
          <w:p w:rsidR="00BD393E" w:rsidRDefault="00BD393E" w:rsidP="00BD393E">
            <w:pPr>
              <w:rPr>
                <w:b/>
                <w:color w:val="FF0000"/>
              </w:rPr>
            </w:pPr>
          </w:p>
          <w:p w:rsidR="00BD393E" w:rsidRPr="00C939CB" w:rsidRDefault="00BD393E" w:rsidP="00BD393E">
            <w:pPr>
              <w:rPr>
                <w:b/>
                <w:color w:val="FF0000"/>
              </w:rPr>
            </w:pPr>
          </w:p>
        </w:tc>
        <w:tc>
          <w:tcPr>
            <w:tcW w:w="3672" w:type="dxa"/>
          </w:tcPr>
          <w:p w:rsidR="00BD393E" w:rsidRDefault="00BD393E" w:rsidP="004A24CC"/>
          <w:p w:rsidR="00BD393E" w:rsidRDefault="00BD393E" w:rsidP="004A24CC"/>
          <w:p w:rsidR="00BD393E" w:rsidRDefault="00BD393E" w:rsidP="004A24CC"/>
          <w:p w:rsidR="00BD393E" w:rsidRDefault="00BD393E" w:rsidP="004A24CC"/>
        </w:tc>
      </w:tr>
    </w:tbl>
    <w:p w:rsidR="00110598" w:rsidRDefault="00110598"/>
    <w:sectPr w:rsidR="00110598" w:rsidSect="00BD393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13F1D"/>
    <w:multiLevelType w:val="hybridMultilevel"/>
    <w:tmpl w:val="44E450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BC75C82"/>
    <w:multiLevelType w:val="hybridMultilevel"/>
    <w:tmpl w:val="793206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9DE66B8"/>
    <w:multiLevelType w:val="hybridMultilevel"/>
    <w:tmpl w:val="BB8A24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49709E6"/>
    <w:multiLevelType w:val="hybridMultilevel"/>
    <w:tmpl w:val="6A501A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D393E"/>
    <w:rsid w:val="00110598"/>
    <w:rsid w:val="004A24CC"/>
    <w:rsid w:val="0083684D"/>
    <w:rsid w:val="00BA1663"/>
    <w:rsid w:val="00BD39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312</Words>
  <Characters>1785</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JET</cp:lastModifiedBy>
  <cp:revision>2</cp:revision>
  <dcterms:created xsi:type="dcterms:W3CDTF">2011-03-08T17:35:00Z</dcterms:created>
  <dcterms:modified xsi:type="dcterms:W3CDTF">2011-03-08T17:35:00Z</dcterms:modified>
</cp:coreProperties>
</file>